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ОБРАЗЕЦ ОФОРМЛЕНИЯ СТАТЬИ</w:t>
      </w:r>
      <w:r>
        <w:rPr>
          <w:rFonts w:ascii="Times New Roman" w:hAnsi="Times New Roman"/>
          <w:b/>
          <w:bCs/>
          <w:caps/>
          <w:sz w:val="28"/>
          <w:szCs w:val="28"/>
        </w:rPr>
      </w:r>
    </w:p>
    <w:p>
      <w:pPr>
        <w:pBdr/>
        <w:shd w:val="clear" w:color="auto" w:fill="ffffff"/>
        <w:spacing w:after="100" w:afterAutospacing="1" w:before="100" w:before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Представляемые рукописи должны соответствовать тематике </w:t>
      </w:r>
      <w:r>
        <w:rPr>
          <w:rFonts w:ascii="Times New Roman" w:hAnsi="Times New Roman"/>
          <w:sz w:val="28"/>
          <w:szCs w:val="28"/>
        </w:rPr>
        <w:t xml:space="preserve">сборника</w:t>
      </w:r>
      <w:r>
        <w:rPr>
          <w:rFonts w:ascii="Times New Roman" w:hAnsi="Times New Roman"/>
          <w:sz w:val="28"/>
          <w:szCs w:val="28"/>
        </w:rPr>
        <w:t xml:space="preserve">, быть оригинальными, не опубликованными ранее в других печатных или электронных изданиях.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тем, что Оргкомитет конференции принял решение зарегистрировать сборник в РИНЦ, просим Вас приложить к текстам статей следующую информацию: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jc w:val="left"/>
        <w:rPr>
          <w:szCs w:val="28"/>
        </w:rPr>
      </w:pPr>
      <w:r>
        <w:rPr>
          <w:szCs w:val="28"/>
        </w:rPr>
        <w:t xml:space="preserve">Код </w:t>
      </w:r>
      <w:r>
        <w:rPr>
          <w:szCs w:val="28"/>
        </w:rPr>
        <w:t xml:space="preserve">УДК (выравнивание по левому краю)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Bdr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русском языке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i/>
          <w:szCs w:val="28"/>
        </w:rPr>
      </w:pPr>
      <w:r>
        <w:rPr>
          <w:szCs w:val="28"/>
        </w:rPr>
        <w:t xml:space="preserve">Название статьи. </w:t>
      </w:r>
      <w:r>
        <w:rPr>
          <w:b/>
          <w:szCs w:val="28"/>
        </w:rPr>
        <w:t xml:space="preserve">Выравнивание по</w:t>
      </w:r>
      <w:r>
        <w:rPr>
          <w:b/>
          <w:szCs w:val="28"/>
        </w:rPr>
        <w:t xml:space="preserve"> центру ПРОПИСНЫМИ БУКВАМИ, полужирный, кегль 14.</w:t>
      </w:r>
      <w:r>
        <w:rPr>
          <w:b/>
          <w:szCs w:val="28"/>
        </w:rPr>
        <w:t xml:space="preserve"> </w:t>
      </w:r>
      <w:r>
        <w:rPr>
          <w:i/>
          <w:szCs w:val="28"/>
        </w:rPr>
      </w:r>
    </w:p>
    <w:p>
      <w:pPr>
        <w:pStyle w:val="742"/>
        <w:pBdr/>
        <w:spacing w:line="240" w:lineRule="auto"/>
        <w:ind w:firstLine="0"/>
        <w:rPr>
          <w:szCs w:val="28"/>
        </w:rPr>
      </w:pPr>
      <w:r>
        <w:rPr>
          <w:szCs w:val="28"/>
        </w:rPr>
        <w:t xml:space="preserve">После названия – пустая строка.</w:t>
      </w:r>
      <w:r>
        <w:rPr>
          <w:szCs w:val="28"/>
        </w:rPr>
      </w:r>
    </w:p>
    <w:p>
      <w:pPr>
        <w:pStyle w:val="742"/>
        <w:pBdr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i/>
          <w:szCs w:val="28"/>
        </w:rPr>
      </w:pPr>
      <w:r>
        <w:rPr>
          <w:b/>
          <w:szCs w:val="28"/>
        </w:rPr>
        <w:t xml:space="preserve">Фамилия, имя, отчество</w:t>
      </w:r>
      <w:r>
        <w:rPr>
          <w:szCs w:val="28"/>
        </w:rPr>
        <w:t xml:space="preserve"> </w:t>
      </w:r>
      <w:r>
        <w:rPr>
          <w:szCs w:val="28"/>
        </w:rPr>
        <w:t xml:space="preserve">всех авторов </w:t>
      </w:r>
      <w:r>
        <w:rPr>
          <w:szCs w:val="28"/>
        </w:rPr>
        <w:t xml:space="preserve">(полностью). </w:t>
      </w:r>
      <w:bookmarkStart w:id="0" w:name="OLE_LINK13"/>
      <w:r/>
      <w:bookmarkStart w:id="1" w:name="OLE_LINK14"/>
      <w:r/>
      <w:bookmarkStart w:id="2" w:name="OLE_LINK15"/>
      <w:r>
        <w:rPr>
          <w:szCs w:val="28"/>
        </w:rPr>
        <w:t xml:space="preserve">Выравнивание п</w:t>
      </w:r>
      <w:r>
        <w:rPr>
          <w:szCs w:val="28"/>
        </w:rPr>
        <w:t xml:space="preserve">о центру</w:t>
      </w:r>
      <w:r>
        <w:rPr>
          <w:b/>
          <w:szCs w:val="28"/>
        </w:rPr>
        <w:t xml:space="preserve">, полужирный, кегль 1</w:t>
      </w:r>
      <w:bookmarkEnd w:id="0"/>
      <w:r/>
      <w:bookmarkEnd w:id="1"/>
      <w:r/>
      <w:bookmarkEnd w:id="2"/>
      <w:r>
        <w:rPr>
          <w:b/>
          <w:szCs w:val="28"/>
        </w:rPr>
        <w:t xml:space="preserve">4.</w:t>
      </w:r>
      <w:r>
        <w:rPr>
          <w:i/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szCs w:val="28"/>
        </w:rPr>
      </w:pPr>
      <w:r>
        <w:rPr>
          <w:szCs w:val="28"/>
        </w:rPr>
        <w:t xml:space="preserve">Ученая степень, звание, д</w:t>
      </w:r>
      <w:r>
        <w:rPr>
          <w:szCs w:val="28"/>
        </w:rPr>
        <w:t xml:space="preserve">олжность</w:t>
      </w:r>
      <w:r>
        <w:rPr>
          <w:szCs w:val="28"/>
        </w:rPr>
        <w:t xml:space="preserve"> (без сокращений)</w:t>
      </w:r>
      <w:r>
        <w:rPr>
          <w:szCs w:val="28"/>
        </w:rPr>
        <w:t xml:space="preserve">, </w:t>
      </w:r>
      <w:r>
        <w:rPr>
          <w:szCs w:val="28"/>
        </w:rPr>
        <w:t xml:space="preserve">подразделение организации</w:t>
      </w:r>
      <w:r>
        <w:rPr>
          <w:szCs w:val="28"/>
        </w:rPr>
        <w:t xml:space="preserve">. </w:t>
      </w:r>
      <w:bookmarkStart w:id="3" w:name="OLE_LINK16"/>
      <w:r/>
      <w:bookmarkStart w:id="4" w:name="OLE_LINK17"/>
      <w:r/>
      <w:bookmarkStart w:id="5" w:name="OLE_LINK18"/>
      <w:r/>
      <w:bookmarkStart w:id="6" w:name="OLE_LINK19"/>
      <w:r>
        <w:rPr>
          <w:szCs w:val="28"/>
        </w:rPr>
        <w:t xml:space="preserve">Выравнивание п</w:t>
      </w:r>
      <w:r>
        <w:rPr>
          <w:szCs w:val="28"/>
        </w:rPr>
        <w:t xml:space="preserve">о центру, кегль 1</w:t>
      </w:r>
      <w:bookmarkEnd w:id="3"/>
      <w:r/>
      <w:bookmarkEnd w:id="4"/>
      <w:r/>
      <w:bookmarkEnd w:id="5"/>
      <w:r/>
      <w:bookmarkEnd w:id="6"/>
      <w:r>
        <w:rPr>
          <w:szCs w:val="28"/>
        </w:rPr>
        <w:t xml:space="preserve">4.</w:t>
      </w:r>
      <w:r>
        <w:rPr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ол</w:t>
      </w:r>
      <w:r>
        <w:rPr>
          <w:szCs w:val="28"/>
        </w:rPr>
        <w:t xml:space="preserve">ное название организации</w:t>
      </w:r>
      <w:r>
        <w:rPr>
          <w:szCs w:val="28"/>
        </w:rPr>
        <w:t xml:space="preserve">–</w:t>
      </w:r>
      <w:r>
        <w:rPr>
          <w:szCs w:val="28"/>
        </w:rPr>
        <w:t xml:space="preserve">места</w:t>
      </w:r>
      <w:r>
        <w:rPr>
          <w:szCs w:val="28"/>
        </w:rPr>
        <w:t xml:space="preserve"> работы каждог</w:t>
      </w:r>
      <w:r>
        <w:rPr>
          <w:szCs w:val="28"/>
        </w:rPr>
        <w:t xml:space="preserve">о автора в именительном падеже (без сокращений),</w:t>
      </w:r>
      <w:r>
        <w:rPr>
          <w:szCs w:val="28"/>
        </w:rPr>
        <w:t xml:space="preserve"> город</w:t>
      </w:r>
      <w:r>
        <w:rPr>
          <w:szCs w:val="28"/>
        </w:rPr>
        <w:t xml:space="preserve">, </w:t>
      </w:r>
      <w:r>
        <w:rPr>
          <w:szCs w:val="28"/>
        </w:rPr>
        <w:t xml:space="preserve">страна</w:t>
      </w:r>
      <w:r>
        <w:rPr>
          <w:szCs w:val="28"/>
        </w:rPr>
        <w:t xml:space="preserve">. </w:t>
      </w:r>
      <w:r>
        <w:rPr>
          <w:szCs w:val="28"/>
        </w:rPr>
        <w:t xml:space="preserve">Если все авторы статьи работают в одном учреждении, можно не указывать место работы каждого автора отдельно</w:t>
      </w:r>
      <w:r>
        <w:rPr>
          <w:szCs w:val="28"/>
        </w:rPr>
        <w:t xml:space="preserve"> Выравнивание п</w:t>
      </w:r>
      <w:r>
        <w:rPr>
          <w:szCs w:val="28"/>
        </w:rPr>
        <w:t xml:space="preserve">о центру, кегль</w:t>
      </w:r>
      <w:r>
        <w:rPr>
          <w:szCs w:val="28"/>
        </w:rPr>
        <w:t xml:space="preserve"> </w:t>
      </w:r>
      <w:r>
        <w:rPr>
          <w:szCs w:val="28"/>
        </w:rPr>
        <w:t xml:space="preserve">14.</w:t>
      </w:r>
      <w:r>
        <w:rPr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b/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дрес электронной почты каждого автора</w:t>
      </w:r>
      <w:r>
        <w:rPr>
          <w:szCs w:val="28"/>
        </w:rPr>
        <w:t xml:space="preserve">. Выравнивание по</w:t>
      </w:r>
      <w:r>
        <w:rPr>
          <w:szCs w:val="28"/>
        </w:rPr>
        <w:t xml:space="preserve"> центру, кегль 14.</w:t>
      </w:r>
      <w:r>
        <w:rPr>
          <w:szCs w:val="28"/>
        </w:rPr>
        <w:t xml:space="preserve"> </w:t>
      </w:r>
      <w:r>
        <w:rPr>
          <w:szCs w:val="28"/>
        </w:rPr>
        <w:t xml:space="preserve">После адреса электронной почты пустая строка.</w:t>
      </w:r>
      <w:r>
        <w:rPr>
          <w:b/>
          <w:szCs w:val="28"/>
        </w:rPr>
      </w:r>
    </w:p>
    <w:p>
      <w:pPr>
        <w:pStyle w:val="742"/>
        <w:pBdr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szCs w:val="28"/>
        </w:rPr>
      </w:pPr>
      <w:r>
        <w:rPr>
          <w:szCs w:val="28"/>
        </w:rPr>
        <w:t xml:space="preserve">Затем – Аннотация (не более 60 слов). </w:t>
      </w:r>
      <w:r>
        <w:rPr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szCs w:val="28"/>
        </w:rPr>
      </w:pPr>
      <w:r>
        <w:rPr>
          <w:szCs w:val="28"/>
        </w:rPr>
        <w:t xml:space="preserve">После Аннотации </w:t>
      </w:r>
      <w:r>
        <w:rPr>
          <w:rFonts w:ascii="Symbol" w:hAnsi="Symbol" w:eastAsia="Symbol" w:cs="Symbol"/>
          <w:szCs w:val="28"/>
        </w:rPr>
        <w:t xml:space="preserve">-</w:t>
      </w:r>
      <w:r>
        <w:rPr>
          <w:szCs w:val="28"/>
        </w:rPr>
        <w:t xml:space="preserve"> Ключевые слова. (не более 7). Ключевые слова или словосочетания отделяются друг от друга точкой с запятой.</w:t>
      </w:r>
      <w:r>
        <w:rPr>
          <w:szCs w:val="28"/>
        </w:rPr>
      </w:r>
    </w:p>
    <w:p>
      <w:pPr>
        <w:pStyle w:val="742"/>
        <w:pBdr/>
        <w:spacing w:line="240" w:lineRule="auto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42"/>
        <w:pBdr/>
        <w:spacing w:line="240" w:lineRule="auto"/>
        <w:ind w:firstLine="0"/>
        <w:rPr>
          <w:b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После </w:t>
      </w:r>
      <w:r>
        <w:rPr>
          <w:szCs w:val="28"/>
        </w:rPr>
        <w:t xml:space="preserve">ключевых слов </w:t>
      </w:r>
      <w:r>
        <w:rPr>
          <w:szCs w:val="28"/>
        </w:rPr>
        <w:t xml:space="preserve">– пустая строка, затем</w:t>
      </w:r>
      <w:r>
        <w:rPr>
          <w:szCs w:val="28"/>
        </w:rPr>
        <w:t xml:space="preserve"> все то же самое (название статьи, ФИО авторов, ученая степень, звание, должность, название подразделения организации, полное название организации-места работы каждого из авторов, город, страна, Аннотация, Ключевые слова) – </w:t>
      </w:r>
      <w:r>
        <w:rPr>
          <w:b/>
          <w:sz w:val="36"/>
          <w:szCs w:val="36"/>
          <w:u w:val="single"/>
        </w:rPr>
        <w:t xml:space="preserve">на английском языке</w:t>
      </w:r>
      <w:r>
        <w:rPr>
          <w:b/>
          <w:szCs w:val="28"/>
        </w:rPr>
        <w:t xml:space="preserve">.</w:t>
      </w:r>
      <w:r>
        <w:rPr>
          <w:b/>
          <w:szCs w:val="28"/>
        </w:rPr>
      </w:r>
    </w:p>
    <w:p>
      <w:pPr>
        <w:pStyle w:val="742"/>
        <w:pBdr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42"/>
        <w:pBdr/>
        <w:spacing w:line="240" w:lineRule="auto"/>
        <w:ind w:firstLine="0"/>
        <w:rPr>
          <w:szCs w:val="28"/>
        </w:rPr>
      </w:pPr>
      <w:r>
        <w:rPr>
          <w:szCs w:val="28"/>
        </w:rPr>
        <w:t xml:space="preserve">После </w:t>
      </w:r>
      <w:r>
        <w:rPr>
          <w:szCs w:val="28"/>
        </w:rPr>
        <w:t xml:space="preserve">ключевых слов на английском языке</w:t>
      </w:r>
      <w:r>
        <w:rPr>
          <w:szCs w:val="28"/>
        </w:rPr>
        <w:t xml:space="preserve"> – пустая строка, затем</w:t>
      </w:r>
      <w:r>
        <w:rPr>
          <w:szCs w:val="28"/>
        </w:rPr>
        <w:t xml:space="preserve"> –</w:t>
      </w:r>
      <w:r>
        <w:rPr>
          <w:szCs w:val="28"/>
        </w:rPr>
        <w:t xml:space="preserve"> основной текст.</w:t>
      </w:r>
      <w:r>
        <w:rPr>
          <w:szCs w:val="28"/>
        </w:rPr>
      </w:r>
    </w:p>
    <w:p>
      <w:pPr>
        <w:pStyle w:val="742"/>
        <w:pBdr/>
        <w:spacing w:line="240" w:lineRule="auto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42"/>
        <w:numPr>
          <w:ilvl w:val="0"/>
          <w:numId w:val="5"/>
        </w:numPr>
        <w:pBdr/>
        <w:spacing w:line="240" w:lineRule="auto"/>
        <w:ind/>
        <w:rPr>
          <w:szCs w:val="28"/>
        </w:rPr>
      </w:pPr>
      <w:r>
        <w:rPr>
          <w:szCs w:val="28"/>
        </w:rPr>
        <w:t xml:space="preserve">После основного текста статьи оставляется пустая с</w:t>
      </w:r>
      <w:r>
        <w:rPr>
          <w:szCs w:val="28"/>
        </w:rPr>
        <w:t xml:space="preserve">трока. Затем </w:t>
      </w:r>
      <w:r>
        <w:rPr>
          <w:b/>
          <w:caps/>
          <w:szCs w:val="28"/>
        </w:rPr>
        <w:t xml:space="preserve">СПИСОК ЛИТЕРАТУРЫ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Bdr/>
        <w:spacing w:line="240" w:lineRule="auto"/>
        <w:ind/>
        <w:rPr>
          <w:rFonts w:eastAsia="Times New Roman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Bdr/>
        <w:spacing w:line="240" w:lineRule="auto"/>
        <w:ind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 w:line="240" w:lineRule="auto"/>
        <w:ind/>
        <w:rPr>
          <w:rFonts w:eastAsia="Times New Roman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Bdr/>
        <w:spacing w:after="0" w:before="240"/>
        <w:ind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Пример оформления статьи</w:t>
      </w:r>
      <w:r>
        <w:rPr>
          <w:rFonts w:ascii="Times New Roman" w:hAnsi="Times New Roman"/>
          <w:b/>
          <w:i/>
          <w:sz w:val="28"/>
          <w:szCs w:val="28"/>
          <w:u w:val="single"/>
        </w:rPr>
      </w:r>
    </w:p>
    <w:p>
      <w:pPr>
        <w:pBdr/>
        <w:spacing w:after="0" w:before="24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УДК 347.92</w:t>
      </w:r>
      <w:r>
        <w:rPr>
          <w:rFonts w:ascii="Times New Roman" w:hAnsi="Times New Roman"/>
          <w:caps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/>
      <w:bookmarkStart w:id="7" w:name="_Toc406867894"/>
      <w:r>
        <w:rPr>
          <w:rFonts w:ascii="Times New Roman" w:hAnsi="Times New Roman"/>
          <w:b/>
          <w:sz w:val="28"/>
          <w:szCs w:val="28"/>
        </w:rPr>
        <w:t xml:space="preserve">ИСТОРИЧЕСКИЙ ИСТОЧНИК И ВНЕИСТОЧНИКОВОЕ ЗНАНИЕ В ИСТОРИЧЕСКОЙ НАУКЕ</w:t>
      </w:r>
      <w:r>
        <w:t xml:space="preserve"> </w:t>
      </w:r>
      <w:bookmarkEnd w:id="7"/>
      <w:r/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Боровкова Ольга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Васильевна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 исторических наук, доцент, доцент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кафедры источниковедения,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8" w:name="OLE_LINK4"/>
      <w:r/>
      <w:bookmarkStart w:id="9" w:name="OLE_LINK5"/>
      <w:r/>
      <w:bookmarkStart w:id="10" w:name="OLE_LINK6"/>
      <w:r/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Московский государственный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Москва</w:t>
      </w:r>
      <w:r>
        <w:rPr>
          <w:rFonts w:ascii="Times New Roman" w:hAnsi="Times New Roman"/>
          <w:sz w:val="28"/>
          <w:szCs w:val="28"/>
        </w:rPr>
        <w:t xml:space="preserve">, Россия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11" w:tooltip="mailto:asdfgh32@yandex.ru" w:history="1">
        <w:r>
          <w:rPr>
            <w:rStyle w:val="741"/>
            <w:rFonts w:ascii="Times New Roman" w:hAnsi="Times New Roman"/>
            <w:sz w:val="28"/>
            <w:szCs w:val="28"/>
            <w:lang w:val="en-US"/>
          </w:rPr>
          <w:t xml:space="preserve">asdfgh32</w:t>
        </w:r>
        <w:r>
          <w:rPr>
            <w:rStyle w:val="741"/>
            <w:rFonts w:ascii="Times New Roman" w:hAnsi="Times New Roman"/>
            <w:sz w:val="28"/>
            <w:szCs w:val="28"/>
            <w:lang w:val="en-US"/>
          </w:rPr>
          <w:t xml:space="preserve">@yandex.ru</w:t>
        </w:r>
      </w:hyperlink>
      <w:r/>
      <w:bookmarkEnd w:id="8"/>
      <w:r/>
      <w:bookmarkEnd w:id="9"/>
      <w:r/>
      <w:bookmarkEnd w:id="10"/>
      <w:r/>
      <w:r>
        <w:rPr>
          <w:rFonts w:ascii="Times New Roman" w:hAnsi="Times New Roman"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Style w:val="741"/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Style w:val="741"/>
          <w:rFonts w:ascii="Times New Roman" w:hAnsi="Times New Roman"/>
          <w:sz w:val="28"/>
          <w:szCs w:val="28"/>
          <w:lang w:val="en-US"/>
        </w:rPr>
      </w:r>
    </w:p>
    <w:p>
      <w:pPr>
        <w:pBdr/>
        <w:tabs>
          <w:tab w:val="left" w:leader="none" w:pos="8789"/>
          <w:tab w:val="left" w:leader="none" w:pos="9072"/>
        </w:tabs>
        <w:spacing w:after="0" w:line="240" w:lineRule="auto"/>
        <w:ind w:right="283"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Историческая наука в настоящее время переживает кризис – критике подвергаются практически все ее основания, в том числе и исторический источник. Звучат высказывания о том, что источники не надежны и поэтому необходимо привлечение </w:t>
      </w:r>
      <w:r>
        <w:rPr>
          <w:rFonts w:ascii="Times New Roman" w:hAnsi="Times New Roman"/>
          <w:iCs/>
          <w:sz w:val="24"/>
          <w:szCs w:val="24"/>
        </w:rPr>
        <w:t xml:space="preserve">внеисточникового</w:t>
      </w:r>
      <w:r>
        <w:rPr>
          <w:rFonts w:ascii="Times New Roman" w:hAnsi="Times New Roman"/>
          <w:iCs/>
          <w:sz w:val="24"/>
          <w:szCs w:val="24"/>
        </w:rPr>
        <w:t xml:space="preserve"> знания, которое, в некоторых случаях, полагается заменителем источников. Для решения этой проблемы осуществляется попытка выявления </w:t>
      </w:r>
      <w:r>
        <w:rPr>
          <w:rFonts w:ascii="Times New Roman" w:hAnsi="Times New Roman"/>
          <w:iCs/>
          <w:sz w:val="24"/>
          <w:szCs w:val="24"/>
        </w:rPr>
        <w:t xml:space="preserve">топоса</w:t>
      </w:r>
      <w:r>
        <w:rPr>
          <w:rFonts w:ascii="Times New Roman" w:hAnsi="Times New Roman"/>
          <w:iCs/>
          <w:sz w:val="24"/>
          <w:szCs w:val="24"/>
        </w:rPr>
        <w:t xml:space="preserve"> исторического источника и </w:t>
      </w:r>
      <w:r>
        <w:rPr>
          <w:rFonts w:ascii="Times New Roman" w:hAnsi="Times New Roman"/>
          <w:iCs/>
          <w:sz w:val="24"/>
          <w:szCs w:val="24"/>
        </w:rPr>
        <w:t xml:space="preserve">топоса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внеисточникового</w:t>
      </w:r>
      <w:r>
        <w:rPr>
          <w:rFonts w:ascii="Times New Roman" w:hAnsi="Times New Roman"/>
          <w:iCs/>
          <w:sz w:val="24"/>
          <w:szCs w:val="24"/>
        </w:rPr>
        <w:t xml:space="preserve"> знания, что позволит углубиться в содержание понятия «исторический источник» и определить сферу </w:t>
      </w:r>
      <w:r>
        <w:rPr>
          <w:rFonts w:ascii="Times New Roman" w:hAnsi="Times New Roman"/>
          <w:iCs/>
          <w:sz w:val="24"/>
          <w:szCs w:val="24"/>
        </w:rPr>
        <w:t xml:space="preserve">внеисточникового</w:t>
      </w:r>
      <w:r>
        <w:rPr>
          <w:rFonts w:ascii="Times New Roman" w:hAnsi="Times New Roman"/>
          <w:iCs/>
          <w:sz w:val="24"/>
          <w:szCs w:val="24"/>
        </w:rPr>
        <w:t xml:space="preserve"> знания.</w:t>
      </w:r>
      <w: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104"/>
          <w:tab w:val="left" w:leader="none" w:pos="8789"/>
          <w:tab w:val="left" w:leader="none" w:pos="9072"/>
        </w:tabs>
        <w:spacing w:after="0" w:line="240" w:lineRule="auto"/>
        <w:ind w:right="283"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Ключевые слова: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исторический источник; </w:t>
      </w:r>
      <w:r>
        <w:rPr>
          <w:rFonts w:ascii="Times New Roman" w:hAnsi="Times New Roman"/>
          <w:sz w:val="24"/>
          <w:szCs w:val="24"/>
        </w:rPr>
        <w:t xml:space="preserve">внеисточниковое</w:t>
      </w:r>
      <w:r>
        <w:rPr>
          <w:rFonts w:ascii="Times New Roman" w:hAnsi="Times New Roman"/>
          <w:sz w:val="24"/>
          <w:szCs w:val="24"/>
        </w:rPr>
        <w:t xml:space="preserve"> знание; </w:t>
      </w:r>
      <w:r>
        <w:rPr>
          <w:rFonts w:ascii="Times New Roman" w:hAnsi="Times New Roman"/>
          <w:sz w:val="24"/>
          <w:szCs w:val="24"/>
        </w:rPr>
        <w:t xml:space="preserve">предзнание</w:t>
      </w:r>
      <w:r>
        <w:rPr>
          <w:rFonts w:ascii="Times New Roman" w:hAnsi="Times New Roman"/>
          <w:sz w:val="24"/>
          <w:szCs w:val="24"/>
        </w:rPr>
        <w:t xml:space="preserve">; и</w:t>
      </w:r>
      <w:r>
        <w:rPr>
          <w:rFonts w:ascii="Times New Roman" w:hAnsi="Times New Roman"/>
          <w:sz w:val="24"/>
          <w:szCs w:val="24"/>
        </w:rPr>
        <w:t xml:space="preserve">сторический эксперимент; </w:t>
      </w:r>
      <w:r>
        <w:rPr>
          <w:rFonts w:ascii="Times New Roman" w:hAnsi="Times New Roman"/>
          <w:sz w:val="24"/>
          <w:szCs w:val="24"/>
        </w:rPr>
        <w:t xml:space="preserve">топос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/>
      <w:bookmarkStart w:id="11" w:name="_Toc406867895"/>
      <w:r>
        <w:rPr>
          <w:rFonts w:ascii="Times New Roman" w:hAnsi="Times New Roman"/>
          <w:b/>
          <w:caps/>
          <w:sz w:val="28"/>
          <w:szCs w:val="28"/>
          <w:lang w:val="en-US"/>
        </w:rPr>
        <w:t xml:space="preserve">HISTORICAL SOURCE AND NON-SOURCE KNOWLEDGE IN HISTORICAL SCIENCE</w:t>
      </w:r>
      <w:bookmarkEnd w:id="11"/>
      <w:r/>
      <w:r>
        <w:rPr>
          <w:rFonts w:ascii="Times New Roman" w:hAnsi="Times New Roman"/>
          <w:b/>
          <w:caps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</w:r>
      <w:r>
        <w:rPr>
          <w:rFonts w:ascii="Times New Roman" w:hAnsi="Times New Roman"/>
          <w:b/>
          <w:caps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Olga V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Borovkova</w:t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Candidate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Historical Sciences, Associate Professor, Associate Professor of the Department of Source Studies, </w:t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Moscow State University, </w:t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Moscow, Russia </w:t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Bdr/>
        <w:spacing w:after="0"/>
        <w:ind/>
        <w:jc w:val="center"/>
        <w:rPr>
          <w:rStyle w:val="741"/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r>
        <w:rPr>
          <w:rStyle w:val="741"/>
          <w:lang w:val="en-US"/>
        </w:rPr>
        <w:t xml:space="preserve">asdfgh32@yandex.ru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741"/>
          <w:rFonts w:ascii="Times New Roman" w:hAnsi="Times New Roman"/>
          <w:lang w:val="en-US"/>
        </w:rPr>
      </w:r>
    </w:p>
    <w:p>
      <w:pPr>
        <w:pBdr/>
        <w:spacing w:after="0"/>
        <w:ind/>
        <w:jc w:val="center"/>
        <w:rPr>
          <w:rStyle w:val="741"/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  <w:r>
        <w:rPr>
          <w:rStyle w:val="741"/>
          <w:rFonts w:ascii="Times New Roman" w:hAnsi="Times New Roman"/>
          <w:lang w:val="en-US"/>
        </w:rPr>
      </w:r>
    </w:p>
    <w:p>
      <w:pPr>
        <w:pStyle w:val="752"/>
        <w:pBdr/>
        <w:tabs>
          <w:tab w:val="left" w:leader="none" w:pos="8789"/>
          <w:tab w:val="left" w:leader="none" w:pos="8931"/>
          <w:tab w:val="left" w:leader="none" w:pos="9356"/>
        </w:tabs>
        <w:spacing w:before="0"/>
        <w:ind w:right="141" w:firstLine="0" w:left="284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Abstract.</w:t>
      </w:r>
      <w:r>
        <w:rPr>
          <w:b/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Historical science is currently experiencing a crisis – almost all of its foundations, including the historical source, are be</w:t>
      </w:r>
      <w:r>
        <w:rPr>
          <w:sz w:val="24"/>
          <w:szCs w:val="24"/>
          <w:lang w:val="en-US"/>
        </w:rPr>
        <w:t xml:space="preserve">ing criticized. There are statements that sources are not reliable and therefore it is necessary to involve non-source knowledge, which, in some cases, is considered a substitute for sources. To solve this problem, an attempt is being made to identify the </w:t>
      </w:r>
      <w:r>
        <w:rPr>
          <w:sz w:val="24"/>
          <w:szCs w:val="24"/>
          <w:lang w:val="en-US"/>
        </w:rPr>
        <w:t xml:space="preserve">topos</w:t>
      </w:r>
      <w:r>
        <w:rPr>
          <w:sz w:val="24"/>
          <w:szCs w:val="24"/>
          <w:lang w:val="en-US"/>
        </w:rPr>
        <w:t xml:space="preserve"> of the historical source and the </w:t>
      </w:r>
      <w:r>
        <w:rPr>
          <w:sz w:val="24"/>
          <w:szCs w:val="24"/>
          <w:lang w:val="en-US"/>
        </w:rPr>
        <w:t xml:space="preserve">topos</w:t>
      </w:r>
      <w:r>
        <w:rPr>
          <w:sz w:val="24"/>
          <w:szCs w:val="24"/>
          <w:lang w:val="en-US"/>
        </w:rPr>
        <w:t xml:space="preserve"> of non-source knowledge, which will allow us to delve into the content of the concept of "historical source" and determine the scope of non-source knowledge.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pBdr/>
        <w:tabs>
          <w:tab w:val="left" w:leader="none" w:pos="1104"/>
          <w:tab w:val="left" w:leader="none" w:pos="8789"/>
          <w:tab w:val="left" w:leader="none" w:pos="8931"/>
          <w:tab w:val="left" w:leader="none" w:pos="9356"/>
        </w:tabs>
        <w:spacing w:after="0" w:line="240" w:lineRule="auto"/>
        <w:ind w:right="141"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Keywords: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historical source; non-source knowledge; foreknowledge; historical experiment; </w:t>
      </w:r>
      <w:r>
        <w:rPr>
          <w:rFonts w:ascii="Times New Roman" w:hAnsi="Times New Roman"/>
          <w:sz w:val="24"/>
          <w:szCs w:val="24"/>
          <w:lang w:val="en-US"/>
        </w:rPr>
        <w:t xml:space="preserve">topos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Bdr/>
        <w:tabs>
          <w:tab w:val="left" w:leader="none" w:pos="11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Bdr/>
        <w:tabs>
          <w:tab w:val="left" w:leader="none" w:pos="11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статьи.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ЛИТЕРАТУРЫ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Ожегов</w:t>
      </w:r>
      <w:r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И. Толковый словарь русского языка / </w:t>
      </w:r>
      <w:r>
        <w:rPr>
          <w:rFonts w:ascii="Times New Roman" w:hAnsi="Times New Roman"/>
          <w:sz w:val="24"/>
          <w:szCs w:val="24"/>
        </w:rPr>
        <w:t xml:space="preserve">С.И. </w:t>
      </w:r>
      <w:r>
        <w:rPr>
          <w:rFonts w:ascii="Times New Roman" w:hAnsi="Times New Roman"/>
          <w:sz w:val="24"/>
          <w:szCs w:val="24"/>
        </w:rPr>
        <w:t xml:space="preserve">Ожегов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Н.Ю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Шведова. – М.</w:t>
      </w:r>
      <w:r>
        <w:rPr>
          <w:rFonts w:ascii="Times New Roman" w:hAnsi="Times New Roman"/>
          <w:sz w:val="24"/>
          <w:szCs w:val="24"/>
        </w:rPr>
        <w:t xml:space="preserve">: ИНФРА-М</w:t>
      </w:r>
      <w:r>
        <w:rPr>
          <w:rFonts w:ascii="Times New Roman" w:hAnsi="Times New Roman"/>
          <w:sz w:val="24"/>
          <w:szCs w:val="24"/>
        </w:rPr>
        <w:t xml:space="preserve">, 1998. – 678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Серазетдинов</w:t>
      </w:r>
      <w:r>
        <w:rPr>
          <w:rFonts w:ascii="Times New Roman" w:hAnsi="Times New Roman"/>
          <w:sz w:val="24"/>
          <w:szCs w:val="24"/>
        </w:rPr>
        <w:t xml:space="preserve"> Б.У. П</w:t>
      </w:r>
      <w:r>
        <w:rPr>
          <w:rFonts w:ascii="Times New Roman" w:hAnsi="Times New Roman"/>
          <w:sz w:val="24"/>
          <w:szCs w:val="24"/>
        </w:rPr>
        <w:t xml:space="preserve">роизводство прожекторного вооружения для Красной Армии и Военно-Мо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ского Флота в 1941-1945 гг. // Военно-исторический журнал. –2012. –2. –С.43-46.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/>
      <w:bookmarkStart w:id="12" w:name="sub_1000"/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Семейный кодекс Российской Федерации от 29 декабря 1995 г. № 223-ФЗ (ред. от 30.11.2011 № 363-ФЗ) [Электронный ресурс] // Официальный интернет-портал правовой информации. – URL: http://www.pravo.gov.ru (дата обращения: 01.12.2011).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ГА РФ (</w:t>
      </w:r>
      <w:r>
        <w:rPr>
          <w:rFonts w:ascii="Times New Roman" w:hAnsi="Times New Roman"/>
          <w:sz w:val="24"/>
          <w:szCs w:val="24"/>
        </w:rPr>
        <w:t xml:space="preserve">Государственный архив Российской Федерации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  <w:t xml:space="preserve"> Ф. 6822. Оп.1. Д.159.Л.63, 120.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End w:id="12"/>
      <w:r>
        <w:rPr>
          <w:rFonts w:ascii="Times New Roman" w:hAnsi="Times New Roman"/>
          <w:sz w:val="24"/>
          <w:szCs w:val="24"/>
        </w:rPr>
      </w:r>
    </w:p>
    <w:p>
      <w:pPr>
        <w:pBdr/>
        <w:spacing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Порядок оформления статей</w:t>
      </w:r>
      <w:r>
        <w:rPr>
          <w:rFonts w:ascii="Times New Roman" w:hAnsi="Times New Roman"/>
          <w:caps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Оформление статьи в формате Microsoft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Word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doc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docx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1. Параметры страницы</w:t>
      </w: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(Разметка страницы – Поля – Настраиваемые поля)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поля – 2,0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; п</w:t>
      </w:r>
      <w:r>
        <w:rPr>
          <w:rFonts w:ascii="Times New Roman" w:hAnsi="Times New Roman"/>
          <w:sz w:val="28"/>
          <w:szCs w:val="28"/>
        </w:rPr>
        <w:t xml:space="preserve">ерепл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 – 0 см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Без переносов!!! (Разметка страницы – Расстановка переносов – НЕТ)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2. Формат основного текста</w:t>
      </w: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(Главная – Абзац)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Выравнивание – по ширине</w:t>
      </w:r>
      <w:r>
        <w:rPr>
          <w:rFonts w:ascii="Times New Roman" w:hAnsi="Times New Roman"/>
          <w:sz w:val="28"/>
          <w:szCs w:val="28"/>
        </w:rPr>
        <w:t xml:space="preserve">, п</w:t>
      </w:r>
      <w:r>
        <w:rPr>
          <w:rFonts w:ascii="Times New Roman" w:hAnsi="Times New Roman"/>
          <w:sz w:val="28"/>
          <w:szCs w:val="28"/>
        </w:rPr>
        <w:t xml:space="preserve">ервая строка – отступ 1</w:t>
      </w:r>
      <w:r>
        <w:rPr>
          <w:rFonts w:ascii="Times New Roman" w:hAnsi="Times New Roman"/>
          <w:sz w:val="28"/>
          <w:szCs w:val="28"/>
        </w:rPr>
        <w:t xml:space="preserve">,25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(не допускается абзацный отступ с помощью клавишей «пробел» и «табуляция»). </w:t>
      </w:r>
      <w:r>
        <w:rPr>
          <w:rFonts w:ascii="Times New Roman" w:hAnsi="Times New Roman"/>
          <w:sz w:val="28"/>
          <w:szCs w:val="28"/>
        </w:rPr>
        <w:t xml:space="preserve">Междустрочный интервал – </w:t>
      </w:r>
      <w:r>
        <w:rPr>
          <w:rFonts w:ascii="Times New Roman" w:hAnsi="Times New Roman"/>
          <w:sz w:val="28"/>
          <w:szCs w:val="28"/>
        </w:rPr>
        <w:t xml:space="preserve">полуторный.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Главная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Шрифт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TimesNewRoman</w:t>
      </w:r>
      <w:r>
        <w:rPr>
          <w:rFonts w:ascii="Times New Roman" w:hAnsi="Times New Roman"/>
          <w:sz w:val="28"/>
          <w:szCs w:val="28"/>
        </w:rPr>
        <w:t xml:space="preserve">, 14 </w:t>
      </w:r>
      <w:r>
        <w:rPr>
          <w:rFonts w:ascii="Times New Roman" w:hAnsi="Times New Roman"/>
          <w:sz w:val="28"/>
          <w:szCs w:val="28"/>
        </w:rPr>
        <w:t xml:space="preserve">кегль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Уплотнение интервалов запрещено. </w:t>
      </w:r>
      <w:r>
        <w:rPr>
          <w:rFonts w:ascii="Times New Roman" w:hAnsi="Times New Roman"/>
          <w:sz w:val="28"/>
          <w:szCs w:val="28"/>
        </w:rPr>
        <w:t xml:space="preserve">Инициалы в тексте и ссылках соединяются с фамилией с помощью «неразрывного пробела» одновременным нажатием клавиш </w:t>
      </w:r>
      <w:r>
        <w:rPr>
          <w:rFonts w:ascii="Times New Roman" w:hAnsi="Times New Roman"/>
          <w:sz w:val="28"/>
          <w:szCs w:val="28"/>
        </w:rPr>
        <w:t xml:space="preserve">Shift+Ctrl+Пробел</w:t>
      </w:r>
      <w:r>
        <w:rPr>
          <w:rFonts w:ascii="Times New Roman" w:hAnsi="Times New Roman"/>
          <w:sz w:val="28"/>
          <w:szCs w:val="28"/>
        </w:rPr>
        <w:t xml:space="preserve">: И.О. Фамилия.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</w:t>
      </w:r>
      <w:r>
        <w:rPr>
          <w:rFonts w:ascii="Times New Roman" w:hAnsi="Times New Roman"/>
          <w:sz w:val="28"/>
          <w:szCs w:val="28"/>
        </w:rPr>
        <w:t xml:space="preserve">рация страниц не проставляется.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Требования к оформлению текста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Т.  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Сокращения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особое внимание на следующее необходимые сокращения: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«год» или «годы», а «г.» или «гг.».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«век» или «века», а «в.» или «вв.».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сокращений допускаются: «т.д.», «</w:t>
      </w:r>
      <w:r>
        <w:rPr>
          <w:rFonts w:ascii="Times New Roman" w:hAnsi="Times New Roman"/>
          <w:sz w:val="28"/>
          <w:szCs w:val="28"/>
        </w:rPr>
        <w:t xml:space="preserve">т.e</w:t>
      </w:r>
      <w:r>
        <w:rPr>
          <w:rFonts w:ascii="Times New Roman" w:hAnsi="Times New Roman"/>
          <w:sz w:val="28"/>
          <w:szCs w:val="28"/>
        </w:rPr>
        <w:t xml:space="preserve">», «т.п.»,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«см.», «др.», «пр.».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Сокращения, вводимые автором статьи, оформляются следующим образом: «В документах, хранящихся в Государственном архиве Тверской области (далее – ГАТО), была обнаружена семейная переписка дворян Трубниковых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Числительные и математические знаки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% ставится знаком, а не словом, если он следует за цифрой, и НЕ отделяется от не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пробелом: 75%.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иных случаях: «процент вдовых чиновников не превышал 30».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Нули могут быть заменены соответствующими сокращениями (тыс., млн, млрд, трлн): 10 тыс. человек.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Названия денежных знаков даются по принятым сокращениям, а не символами (€, $ и т.п.). Например, долл., руб., ф. ст.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Века обозначаются только римскими цифрами. Например, III в., XIX в. Для этого необходимо перейти на латинский алфавит. Не путать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 xml:space="preserve">Y</w:t>
      </w:r>
      <w:r>
        <w:rPr>
          <w:rFonts w:ascii="Times New Roman" w:hAnsi="Times New Roman"/>
          <w:sz w:val="28"/>
          <w:szCs w:val="28"/>
        </w:rPr>
        <w:t xml:space="preserve">. Для римской единицы использовать </w:t>
      </w:r>
      <w:r>
        <w:rPr>
          <w:rFonts w:ascii="Times New Roman" w:hAnsi="Times New Roman"/>
          <w:sz w:val="28"/>
          <w:szCs w:val="28"/>
        </w:rPr>
        <w:t xml:space="preserve">прописную </w:t>
      </w:r>
      <w:r>
        <w:rPr>
          <w:rFonts w:ascii="Times New Roman" w:hAnsi="Times New Roman"/>
          <w:sz w:val="28"/>
          <w:szCs w:val="28"/>
        </w:rPr>
        <w:t xml:space="preserve">латинскую букву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а не арабскую цифру «1». Т.е. использовать прописные латинские буквы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Кавычки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различать внешние и внутренние кавычки: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внешние «»,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внутренние “” (переключить на латинский шрифт).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использования кавычек в кавычках следует поступать так: «кавычки “заключать” в кавычки».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Пропуск в цитате обозначается многоточием в скобках &lt;…&gt; (клавиши, соответствующие русским «Б» и «Ю» при включенной латинской раскладке)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Тире и дефисы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Тире: «–» (Вставка → Символ → Специальные → Короткое тире, либо одновременно нажать клавиши «Ctrl» + «</w:t>
      </w:r>
      <w:r>
        <w:rPr>
          <w:rFonts w:ascii="Times New Roman" w:hAnsi="Times New Roman"/>
          <w:sz w:val="28"/>
          <w:szCs w:val="28"/>
        </w:rPr>
        <w:t xml:space="preserve">NumLock</w:t>
      </w:r>
      <w:r>
        <w:rPr>
          <w:rFonts w:ascii="Times New Roman" w:hAnsi="Times New Roman"/>
          <w:sz w:val="28"/>
          <w:szCs w:val="28"/>
        </w:rPr>
        <w:t xml:space="preserve">» + «-»).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Дефис: «-»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двойных датах и номерах страниц ставится тире без пробелов: 1985–1992 гг., XIX–XX вв., С. 76–89.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Пробелы до и после тире ставятся в случае: «дворянство конца </w:t>
      </w:r>
      <w:r>
        <w:rPr>
          <w:rFonts w:ascii="Times New Roman" w:hAnsi="Times New Roman"/>
          <w:sz w:val="28"/>
          <w:szCs w:val="28"/>
          <w:lang w:val="en-US"/>
        </w:rPr>
        <w:t xml:space="preserve">XVIII</w:t>
      </w:r>
      <w:r>
        <w:rPr>
          <w:rFonts w:ascii="Times New Roman" w:hAnsi="Times New Roman"/>
          <w:sz w:val="28"/>
          <w:szCs w:val="28"/>
        </w:rPr>
        <w:t xml:space="preserve"> – начала </w:t>
      </w:r>
      <w:r>
        <w:rPr>
          <w:rFonts w:ascii="Times New Roman" w:hAnsi="Times New Roman"/>
          <w:sz w:val="28"/>
          <w:szCs w:val="28"/>
          <w:lang w:val="en-US"/>
        </w:rPr>
        <w:t xml:space="preserve">XIX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в.»,</w:t>
      </w:r>
      <w:r>
        <w:rPr>
          <w:rFonts w:ascii="Times New Roman" w:hAnsi="Times New Roman"/>
          <w:sz w:val="28"/>
          <w:szCs w:val="28"/>
        </w:rPr>
        <w:t xml:space="preserve"> «генеалогия – это вспомогательная историческая дисциплина...»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Формат обозначения имени лица в тексте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ФИО, встречающиеся в тексте, оформляется следующим образом: сначала инициалы</w:t>
      </w:r>
      <w:r>
        <w:rPr>
          <w:rFonts w:ascii="Times New Roman" w:hAnsi="Times New Roman"/>
          <w:sz w:val="28"/>
          <w:szCs w:val="28"/>
        </w:rPr>
        <w:t xml:space="preserve">, потом фамилия. Инициалы пробелом не разделяются.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Например, А.О. Смирнова-Россет.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Формат обозначения дат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XVII–XVIII вв.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конец XVII – начало XVIII в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конец 50-х – начало 60-х гг. XVIII 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половина XIX 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20-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гг. ХХ 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50–60-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Х 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</w:t>
      </w:r>
      <w:r>
        <w:rPr>
          <w:rFonts w:ascii="Times New Roman" w:hAnsi="Times New Roman"/>
          <w:sz w:val="28"/>
          <w:szCs w:val="28"/>
        </w:rPr>
        <w:t xml:space="preserve">1953–2000 гг.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ранее 1812 г.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Буква «</w:t>
      </w:r>
      <w:r>
        <w:rPr>
          <w:i/>
          <w:szCs w:val="28"/>
          <w:lang w:eastAsia="ru-RU"/>
        </w:rPr>
        <w:t xml:space="preserve">е</w:t>
      </w:r>
      <w:r>
        <w:rPr>
          <w:i/>
          <w:szCs w:val="28"/>
          <w:lang w:eastAsia="ru-RU"/>
        </w:rPr>
        <w:t xml:space="preserve">»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Буква «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» ставится в именах и в тех случаях, когда замена на «е» искажает смысл слова. Во всех остальных случаях ставится только «е».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Двойные пробелы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методом </w:t>
      </w:r>
      <w:r>
        <w:rPr>
          <w:rFonts w:ascii="Times New Roman" w:hAnsi="Times New Roman"/>
          <w:sz w:val="28"/>
          <w:szCs w:val="28"/>
        </w:rPr>
        <w:t xml:space="preserve">автозамены</w:t>
      </w:r>
      <w:r>
        <w:rPr>
          <w:rFonts w:ascii="Times New Roman" w:hAnsi="Times New Roman"/>
          <w:sz w:val="28"/>
          <w:szCs w:val="28"/>
        </w:rPr>
        <w:t xml:space="preserve"> удалить все двойные пробелы.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4"/>
        </w:numPr>
        <w:pBdr/>
        <w:spacing w:line="240" w:lineRule="auto"/>
        <w:ind w:firstLine="709" w:left="0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 xml:space="preserve">Формат авторских ремарок</w:t>
      </w:r>
      <w:r>
        <w:rPr>
          <w:i/>
          <w:szCs w:val="28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цитатах допустимы следующие авторские ремарки: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(курсив мой. – </w:t>
      </w:r>
      <w:r>
        <w:rPr>
          <w:rFonts w:ascii="Times New Roman" w:hAnsi="Times New Roman"/>
          <w:i/>
          <w:iCs/>
          <w:sz w:val="28"/>
          <w:szCs w:val="28"/>
        </w:rPr>
        <w:t xml:space="preserve">Е.Ж.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(выделено автором. – </w:t>
      </w:r>
      <w:r>
        <w:rPr>
          <w:rFonts w:ascii="Times New Roman" w:hAnsi="Times New Roman"/>
          <w:i/>
          <w:iCs/>
          <w:sz w:val="28"/>
          <w:szCs w:val="28"/>
        </w:rPr>
        <w:t xml:space="preserve">Е.Д.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инициалы автора (имя и фамилия) выделяются курсивом.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pBdr/>
        <w:spacing w:after="240" w:line="240" w:lineRule="auto"/>
        <w:ind w:hanging="357" w:left="1077"/>
        <w:rPr>
          <w:b/>
          <w:szCs w:val="28"/>
        </w:rPr>
      </w:pPr>
      <w:r>
        <w:rPr>
          <w:b/>
          <w:szCs w:val="28"/>
        </w:rPr>
        <w:t xml:space="preserve">СПИСОК ЛИТЕРАТУРЫ</w:t>
      </w:r>
      <w:r>
        <w:rPr>
          <w:b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должна содержать библиографические ссылки,</w:t>
      </w:r>
      <w:r>
        <w:rPr>
          <w:rFonts w:ascii="Times New Roman" w:hAnsi="Times New Roman"/>
          <w:sz w:val="28"/>
          <w:szCs w:val="28"/>
        </w:rPr>
        <w:t xml:space="preserve"> оформленные в соответствии с требованиями ГОСТ Р</w:t>
      </w:r>
      <w:r>
        <w:rPr>
          <w:rFonts w:ascii="Times New Roman" w:hAnsi="Times New Roman"/>
          <w:sz w:val="28"/>
          <w:szCs w:val="28"/>
        </w:rPr>
        <w:t xml:space="preserve"> 7.0.</w:t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2008.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частности: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нумерация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внутритекстовых</w:t>
      </w:r>
      <w:r>
        <w:rPr>
          <w:rFonts w:ascii="Times New Roman" w:hAnsi="Times New Roman"/>
          <w:b/>
          <w:bCs/>
          <w:sz w:val="28"/>
          <w:szCs w:val="28"/>
        </w:rPr>
        <w:t xml:space="preserve"> библиографических ссылок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приводится в квадратных скобках (сквозная, в </w:t>
      </w:r>
      <w:r>
        <w:rPr>
          <w:rFonts w:ascii="Times New Roman" w:hAnsi="Times New Roman"/>
          <w:sz w:val="28"/>
          <w:szCs w:val="28"/>
        </w:rPr>
        <w:t xml:space="preserve">алфавитном </w:t>
      </w:r>
      <w:r>
        <w:rPr>
          <w:rFonts w:ascii="Times New Roman" w:hAnsi="Times New Roman"/>
          <w:sz w:val="28"/>
          <w:szCs w:val="28"/>
        </w:rPr>
        <w:t xml:space="preserve">порядке, через пробел после текста) [1], [2], [3] и т.д.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затекстовые</w:t>
      </w:r>
      <w:r>
        <w:rPr>
          <w:rFonts w:ascii="Times New Roman" w:hAnsi="Times New Roman"/>
          <w:b/>
          <w:bCs/>
          <w:sz w:val="28"/>
          <w:szCs w:val="28"/>
        </w:rPr>
        <w:t xml:space="preserve"> библиографические ссылки</w:t>
      </w:r>
      <w:r>
        <w:rPr>
          <w:rFonts w:ascii="Times New Roman" w:hAnsi="Times New Roman"/>
          <w:sz w:val="28"/>
          <w:szCs w:val="28"/>
        </w:rPr>
        <w:t xml:space="preserve"> приводятся после текста статьи под общим заголовком «</w:t>
      </w:r>
      <w:r>
        <w:rPr>
          <w:rFonts w:ascii="Times New Roman" w:hAnsi="Times New Roman"/>
          <w:b/>
          <w:bCs/>
          <w:sz w:val="28"/>
          <w:szCs w:val="28"/>
        </w:rPr>
        <w:t xml:space="preserve">СПИСОК ЛИТЕРАТУРЫ</w:t>
      </w:r>
      <w:r>
        <w:rPr>
          <w:rFonts w:ascii="Times New Roman" w:hAnsi="Times New Roman"/>
          <w:sz w:val="28"/>
          <w:szCs w:val="28"/>
        </w:rPr>
        <w:t xml:space="preserve">» 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сплошной нумерацией в </w:t>
      </w:r>
      <w:r>
        <w:rPr>
          <w:rFonts w:ascii="Times New Roman" w:hAnsi="Times New Roman"/>
          <w:sz w:val="28"/>
          <w:szCs w:val="28"/>
        </w:rPr>
        <w:t xml:space="preserve">алфавитном </w:t>
      </w:r>
      <w:r>
        <w:rPr>
          <w:rFonts w:ascii="Times New Roman" w:hAnsi="Times New Roman"/>
          <w:sz w:val="28"/>
          <w:szCs w:val="28"/>
        </w:rPr>
        <w:t xml:space="preserve">порядке: 1, 2, 3 и т.д.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Ссылки</w:t>
      </w:r>
      <w:r>
        <w:rPr>
          <w:rFonts w:ascii="Times New Roman" w:hAnsi="Times New Roman"/>
          <w:i/>
          <w:sz w:val="28"/>
          <w:szCs w:val="28"/>
        </w:rPr>
        <w:t xml:space="preserve"> оформляются: 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ез красной строки (абзаца)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нумерация – арабскими цифрами</w:t>
      </w:r>
      <w:r>
        <w:rPr>
          <w:rFonts w:ascii="Times New Roman" w:hAnsi="Times New Roman"/>
          <w:sz w:val="28"/>
          <w:szCs w:val="28"/>
        </w:rPr>
        <w:t xml:space="preserve"> с точками, </w:t>
      </w:r>
      <w:r>
        <w:rPr>
          <w:rFonts w:ascii="Times New Roman" w:hAnsi="Times New Roman"/>
          <w:sz w:val="28"/>
          <w:szCs w:val="28"/>
        </w:rPr>
        <w:t xml:space="preserve">шрифт </w:t>
      </w:r>
      <w:r>
        <w:rPr>
          <w:rFonts w:ascii="Times New Roman" w:hAnsi="Times New Roman"/>
          <w:sz w:val="28"/>
          <w:szCs w:val="28"/>
          <w:lang w:val="en-US"/>
        </w:rPr>
        <w:t xml:space="preserve">TimesNewRoman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12 кегль</w:t>
      </w:r>
      <w:r>
        <w:rPr>
          <w:rFonts w:ascii="Times New Roman" w:hAnsi="Times New Roman"/>
          <w:sz w:val="28"/>
          <w:szCs w:val="28"/>
        </w:rPr>
        <w:t xml:space="preserve">; выравнивание – по ширине</w:t>
      </w:r>
      <w:r>
        <w:rPr>
          <w:rFonts w:ascii="Times New Roman" w:hAnsi="Times New Roman"/>
          <w:b/>
          <w:sz w:val="28"/>
          <w:szCs w:val="28"/>
        </w:rPr>
        <w:t xml:space="preserve">, межстрочный</w:t>
      </w:r>
      <w:r>
        <w:rPr>
          <w:rFonts w:ascii="Times New Roman" w:hAnsi="Times New Roman"/>
          <w:sz w:val="28"/>
          <w:szCs w:val="28"/>
        </w:rPr>
        <w:t xml:space="preserve"> интервал – одинарный; </w:t>
      </w:r>
      <w:r>
        <w:rPr>
          <w:rFonts w:ascii="Times New Roman" w:hAnsi="Times New Roman"/>
          <w:iCs/>
          <w:sz w:val="28"/>
          <w:szCs w:val="28"/>
        </w:rPr>
        <w:t xml:space="preserve">фамилия</w:t>
      </w:r>
      <w:r>
        <w:rPr>
          <w:rFonts w:ascii="Times New Roman" w:hAnsi="Times New Roman"/>
          <w:iCs/>
          <w:sz w:val="28"/>
          <w:szCs w:val="28"/>
        </w:rPr>
        <w:t xml:space="preserve"> </w:t>
      </w:r>
      <w:r>
        <w:rPr>
          <w:rFonts w:ascii="Times New Roman" w:hAnsi="Times New Roman"/>
          <w:iCs/>
          <w:sz w:val="28"/>
          <w:szCs w:val="28"/>
        </w:rPr>
        <w:t xml:space="preserve">И.О.</w:t>
      </w:r>
      <w:r>
        <w:rPr>
          <w:rFonts w:ascii="Times New Roman" w:hAnsi="Times New Roman"/>
          <w:sz w:val="28"/>
          <w:szCs w:val="28"/>
        </w:rPr>
        <w:t xml:space="preserve"> автора – без курсива; номера страниц и томов </w:t>
      </w:r>
      <w:r>
        <w:rPr>
          <w:rFonts w:ascii="Times New Roman" w:hAnsi="Times New Roman"/>
          <w:b/>
          <w:bCs/>
          <w:sz w:val="28"/>
          <w:szCs w:val="28"/>
        </w:rPr>
        <w:t xml:space="preserve">разделяются тире «–», а не дефисом «-»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Два и более источников в одной с</w:t>
      </w:r>
      <w:r>
        <w:rPr>
          <w:rFonts w:ascii="Times New Roman" w:hAnsi="Times New Roman"/>
          <w:sz w:val="28"/>
          <w:szCs w:val="28"/>
        </w:rPr>
        <w:t xml:space="preserve">сыл</w:t>
      </w:r>
      <w:r>
        <w:rPr>
          <w:rFonts w:ascii="Times New Roman" w:hAnsi="Times New Roman"/>
          <w:sz w:val="28"/>
          <w:szCs w:val="28"/>
        </w:rPr>
        <w:t xml:space="preserve">ке отделяются точкой с запятой («;»).</w:t>
      </w:r>
      <w:r>
        <w:rPr>
          <w:rFonts w:ascii="Times New Roman" w:hAnsi="Times New Roman"/>
          <w:sz w:val="28"/>
          <w:szCs w:val="28"/>
        </w:rPr>
        <w:t xml:space="preserve"> Например: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Бердяев Н.А. Судьба России. М., 1991. С.3–6.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2.Дунаев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П.М. Звезда и крест комбата: Рассказы о неизвестных героях. – М., 2003; Уткин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Б.П. Заветы победителей защитникам Отечества: Историко-публицистические очерки. – М., 2005; Маркус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Б.С. Ракурсы войны: воспоминания, письма, рисунки, фотографии: кн.2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– М., 2010.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br w:type="page" w:clear="all"/>
      </w:r>
      <w:r>
        <w:rPr>
          <w:rFonts w:eastAsia="Times New Roman"/>
          <w:i/>
          <w:sz w:val="24"/>
          <w:szCs w:val="24"/>
        </w:rPr>
      </w:r>
    </w:p>
    <w:p>
      <w:pPr>
        <w:pBdr/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</w:t>
      </w:r>
      <w:r>
        <w:rPr>
          <w:rFonts w:ascii="Times New Roman" w:hAnsi="Times New Roman"/>
          <w:sz w:val="24"/>
          <w:szCs w:val="24"/>
        </w:rPr>
      </w:r>
    </w:p>
    <w:p>
      <w:pPr>
        <w:pStyle w:val="763"/>
        <w:pBdr/>
        <w:shd w:val="clear" w:color="auto" w:fill="auto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формат оформления </w:t>
      </w:r>
      <w:r>
        <w:rPr>
          <w:rFonts w:ascii="Times New Roman" w:hAnsi="Times New Roman" w:cs="Times New Roman"/>
          <w:sz w:val="24"/>
          <w:szCs w:val="24"/>
        </w:rPr>
        <w:t xml:space="preserve">пристатейных</w:t>
      </w:r>
      <w:r>
        <w:rPr>
          <w:rFonts w:ascii="Times New Roman" w:hAnsi="Times New Roman" w:cs="Times New Roman"/>
          <w:sz w:val="24"/>
          <w:szCs w:val="24"/>
        </w:rPr>
        <w:t xml:space="preserve"> библиографических списков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ГОСТ Р 7.0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5-2008 «Библиографическая ссылка»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3" w:name="bookmark15"/>
      <w:r>
        <w:rPr>
          <w:rFonts w:ascii="Times New Roman" w:hAnsi="Times New Roman" w:cs="Times New Roman"/>
          <w:sz w:val="24"/>
          <w:szCs w:val="24"/>
        </w:rPr>
        <w:t xml:space="preserve">(Примеры оформления ссылок и </w:t>
      </w:r>
      <w:r>
        <w:rPr>
          <w:rFonts w:ascii="Times New Roman" w:hAnsi="Times New Roman" w:cs="Times New Roman"/>
          <w:sz w:val="24"/>
          <w:szCs w:val="24"/>
        </w:rPr>
        <w:t xml:space="preserve">пристатейных</w:t>
      </w:r>
      <w:r>
        <w:rPr>
          <w:rFonts w:ascii="Times New Roman" w:hAnsi="Times New Roman" w:cs="Times New Roman"/>
          <w:sz w:val="24"/>
          <w:szCs w:val="24"/>
        </w:rPr>
        <w:t xml:space="preserve"> списков литературы)</w:t>
      </w:r>
      <w:bookmarkEnd w:id="13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14" w:name="bookmark16"/>
      <w:r>
        <w:rPr>
          <w:rFonts w:ascii="Times New Roman" w:hAnsi="Times New Roman" w:cs="Times New Roman"/>
          <w:sz w:val="24"/>
          <w:szCs w:val="24"/>
          <w:u w:val="single"/>
        </w:rPr>
        <w:t xml:space="preserve">Статьи из журналов и сборников:</w:t>
      </w:r>
      <w:bookmarkEnd w:id="14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Адорно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Т.В. К логике социальных наук //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Вопр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философии. —1992. — №10. — С. 76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86.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Crawford, P.J. The reference librarian and the business professor: a strategic alliance that works / P.J. Crawford, T.P. Barrett // Ref.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Libr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—1997.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Vol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3, № 58. —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P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75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85.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Заголовок записи в ссылке может содержать имена одного, двух или трех авторов документа. Имена авторов, указанные в заголовке, могут не повторяться в сведениях об ответственности.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Crawford P.J., Barrett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.P. The reference librarian and the business professor: a strategic alliance that works //Ref.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Libr</w:t>
      </w:r>
      <w:r>
        <w:rPr>
          <w:rFonts w:ascii="Times New Roman" w:hAnsi="Times New Roman" w:cs="Times New Roman"/>
          <w:sz w:val="24"/>
          <w:szCs w:val="24"/>
        </w:rPr>
        <w:t xml:space="preserve">. 1997.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</w:t>
      </w:r>
      <w:r>
        <w:rPr>
          <w:rFonts w:ascii="Times New Roman" w:hAnsi="Times New Roman" w:cs="Times New Roman"/>
          <w:sz w:val="24"/>
          <w:szCs w:val="24"/>
        </w:rPr>
        <w:t xml:space="preserve">. 3. № 58.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. 75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85.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авторов четыре и более, то заголовок не применяют (ГОСТ 7.80-2000).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Корнилов В.И. Турбулентный пограничный слой на теле вращения при периодическом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вдуве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/отсосе // Теплофизика и аэромеханика. — 2006. —№ 3. — С. 369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385.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Кузнецов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А.Ю. Консорциум — механизм организации подписки на электронные ресурсы // Российский фонд фундаментальных исследований: десять лет служения российской науке. — М.: Науч. мир, 2003. — С. 340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342.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15" w:name="bookmark17"/>
      <w:r>
        <w:rPr>
          <w:rFonts w:ascii="Times New Roman" w:hAnsi="Times New Roman" w:cs="Times New Roman"/>
          <w:sz w:val="24"/>
          <w:szCs w:val="24"/>
          <w:u w:val="single"/>
        </w:rPr>
        <w:t xml:space="preserve">Монографии:</w:t>
      </w:r>
      <w:bookmarkEnd w:id="15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Тарасова В.И. Политическая история Латинской Америки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учеб.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для вузов. —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2-е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изд.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— </w:t>
      </w:r>
      <w:r>
        <w:rPr>
          <w:rStyle w:val="758"/>
          <w:rFonts w:ascii="Times New Roman" w:hAnsi="Times New Roman" w:cs="Times New Roman"/>
          <w:sz w:val="24"/>
          <w:szCs w:val="24"/>
        </w:rPr>
        <w:t xml:space="preserve">М.: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Проспект, 2006. — С. 305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412.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предписанный знак точку и тире, разделяющий области библиографического описания, заменять точкой.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Философия культуры и философия науки: проблемы и гипотезы: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межвуз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сб. науч. тр. /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гос. ун-т; [под ред. С.Ф. Мартыновича]. Саратов: Изд-во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Сарат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ун-та, 1999. —199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не использовать квадратные скобки для сведений, заимствованных не из предписанного источника информации.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Райзберг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Б.А. Современный экономический словарь / Б.А.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Райзберг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Л.Ш. Лозовский, Е.Б. Стародубцева. —5-е изд.,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перераб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и доп. — М.: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ИНФРА-М, 2006. — 494 с.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Заголовок записи в ссылке может содержать имена одного, двух или трех авторов документа. Имена авторов, указанные в заголовке, не повторяются в сведениях об ответственности. Поэтому: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Райзберг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Б.А., Лозовский Л.</w:t>
      </w:r>
      <w:r>
        <w:rPr>
          <w:rStyle w:val="759"/>
          <w:sz w:val="24"/>
          <w:szCs w:val="24"/>
          <w:lang w:val="ru-RU"/>
        </w:rPr>
        <w:t xml:space="preserve">Ш.,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Стародубцева Е.Б. Современный экономический словарь. 5-е изд.,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перераб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и доп. М.: ИНФРА-М, 2006. 494 с.</w:t>
      </w:r>
      <w:r>
        <w:rPr>
          <w:rFonts w:ascii="Times New Roman" w:hAnsi="Times New Roman" w:cs="Times New Roman"/>
          <w:i w:val="0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авторов четыре и более, то заголовок не применяют (ГОСТ 7.80-2000).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Авторефераты: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Глухов В.А. Исследование, разработка и построение системы электронной доставки документов в библиотеке: Автореф. дис. канд. техн. наук. — Новосибирск, 2000. —18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16" w:name="bookmark20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Диссертации</w:t>
      </w:r>
      <w:bookmarkEnd w:id="16"/>
      <w:r>
        <w:rPr>
          <w:rFonts w:ascii="Times New Roman" w:hAnsi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Фенухин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В.И. Этнополитические конфликты в современной России: на примере Северо-Кавказского региона: дис. канд. полит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наук. — М., 2002. — С. 54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55.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17" w:name="bookmark21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Аналитические обзоры:</w:t>
      </w:r>
      <w:bookmarkEnd w:id="17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Экономика и политика России и государств ближнего зарубежья: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аналит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обзор, апр. 2007 / Рос.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акад. наук, Ин-т мировой экономики 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междунар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отношений. — </w:t>
      </w:r>
      <w:r>
        <w:rPr>
          <w:rStyle w:val="760"/>
          <w:rFonts w:ascii="Times New Roman" w:hAnsi="Times New Roman" w:cs="Times New Roman"/>
          <w:sz w:val="24"/>
          <w:szCs w:val="24"/>
        </w:rPr>
        <w:t xml:space="preserve">М.: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ИМЭМО, 2007. — 39 с.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/>
      <w:bookmarkStart w:id="18" w:name="bookmark22"/>
      <w:r/>
      <w:r>
        <w:rPr>
          <w:rFonts w:ascii="Times New Roman" w:hAnsi="Times New Roman" w:cs="Times New Roman"/>
          <w:b w:val="0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Патенты:</w:t>
      </w:r>
      <w:bookmarkEnd w:id="18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Патент РФ № 2000130511/28, 04.12.2000.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Еськов Д.Н.,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Бонштедт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Б.Э.,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Корешев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С.Н., Лебедева Г.И., Серегин А.Г. Оптико-электронный аппарат// Патент России № 2122745.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1998.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Бюл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№ 33.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19" w:name="bookmark23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Материалы конференций</w:t>
      </w:r>
      <w:bookmarkEnd w:id="19"/>
      <w:r>
        <w:rPr>
          <w:rFonts w:ascii="Times New Roman" w:hAnsi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Археология: история и перспективы: сб. ст. 1-й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межрегион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конф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Ярославль, 2003.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350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Марьинских Д.М.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землепользования: тезисы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докл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Всерос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конф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(Иркутск, 11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 сент. 2000 г.). — Новосибирск, 2000. — С.125-128.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2"/>
        <w:pBdr/>
        <w:shd w:val="clear" w:color="auto" w:fill="auto"/>
        <w:spacing w:after="0"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20" w:name="bookmark24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2"/>
        <w:pBdr/>
        <w:shd w:val="clear" w:color="auto" w:fill="auto"/>
        <w:spacing w:after="0"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Интернет-документы:</w:t>
      </w:r>
      <w:bookmarkEnd w:id="20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Официальные периодические издания: электронный путеводитель / Рос.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нац. б-ка, Центр правовой информации. [СПб], 20052007.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URL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12" w:tooltip="http://www.nlr.ru/lawcenter/izd/index.html" w:history="1"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www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nlr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lawcenter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izd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index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html</w:t>
        </w:r>
      </w:hyperlink>
      <w:r>
        <w:rPr>
          <w:rStyle w:val="741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(дата обращения: 18.01.2007).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Логинова Л.Г. Сущность результата дополнительного образования детей // Образование: исследовано в мире: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междунар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науч. пед. интернет-журн. 21.10.03.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URL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13" w:tooltip="http://www.oim.ru/reader.asp7norners" w:history="1"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www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oim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reader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asp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7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norners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366 (дата обращения: 17.04.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07).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/>
      <w:hyperlink r:id="rId14" w:tooltip="http://www.nir.ru/index.htmi" w:history="1"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www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nir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index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htmi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(дата обращения: 20.02.2007)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Рынок тренингов Новосибирска: своя игра [Электронный ресурс]. — Режим доступа: </w:t>
      </w:r>
      <w:hyperlink r:id="rId15" w:tooltip="http://nsk.adme.ru/news/2006/07/03/2121.html" w:history="1"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nsk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adme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news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/2006/07/03/2121.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html</w:t>
        </w:r>
      </w:hyperlink>
      <w:r>
        <w:rPr>
          <w:rStyle w:val="741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(дата обращения: 17.10.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08).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61"/>
        <w:pBdr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Литчфорд</w:t>
      </w:r>
      <w:r>
        <w:rPr>
          <w:rFonts w:ascii="Times New Roman" w:hAnsi="Times New Roman"/>
          <w:sz w:val="24"/>
          <w:szCs w:val="24"/>
        </w:rPr>
        <w:t xml:space="preserve"> Е.У. С Белой Армией по Сибири [Электронный ресурс] // Восточный фронт Армии Генерала А.В.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Колчака: сайт. — </w:t>
      </w:r>
      <w:r>
        <w:rPr>
          <w:rFonts w:ascii="Times New Roman" w:hAnsi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6" w:tooltip="http://east-front.narod.ru/memo/latchford.htm" w:history="1"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east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-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front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narod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memo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latchford</w:t>
        </w:r>
        <w:r>
          <w:rPr>
            <w:rStyle w:val="74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741"/>
            <w:rFonts w:ascii="Times New Roman" w:hAnsi="Times New Roman"/>
            <w:sz w:val="24"/>
            <w:szCs w:val="24"/>
            <w:lang w:val="en-US"/>
          </w:rPr>
          <w:t xml:space="preserve">htm</w:t>
        </w:r>
      </w:hyperlink>
      <w:r>
        <w:rPr>
          <w:rStyle w:val="741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обращения 23.08.2007</w:t>
      </w:r>
      <w:r>
        <w:rPr>
          <w:rFonts w:ascii="Times New Roman" w:hAnsi="Times New Roman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7"/>
        <w:pBdr/>
        <w:spacing/>
        <w:ind/>
        <w:jc w:val="left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</w:r>
      <w:r>
        <w:rPr>
          <w:rFonts w:ascii="Times New Roman" w:hAnsi="Times New Roman"/>
          <w:b w:val="0"/>
          <w:color w:val="auto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707" w:bottom="851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Symbol">
    <w:panose1 w:val="05010000000000000000"/>
  </w:font>
  <w:font w:name="Microsoft Sans Serif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894495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right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56FD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">
    <w:nsid w:val="2C3479D1"/>
    <w:lvl w:ilvl="0">
      <w:isLgl w:val="false"/>
      <w:lvlJc w:val="left"/>
      <w:lvlText w:val=""/>
      <w:numFmt w:val="bullet"/>
      <w:pPr>
        <w:pBdr/>
        <w:spacing/>
        <w:ind w:hanging="360" w:left="9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20"/>
      </w:pPr>
      <w:rPr>
        <w:rFonts w:hint="default" w:ascii="Wingdings" w:hAnsi="Wingdings"/>
      </w:rPr>
      <w:start w:val="1"/>
      <w:suff w:val="tab"/>
    </w:lvl>
  </w:abstractNum>
  <w:abstractNum w:abstractNumId="2">
    <w:nsid w:val="341B2767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nsid w:val="58A751E2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nsid w:val="72D10AF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5">
    <w:nsid w:val="7EDA388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6"/>
    <w:next w:val="73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6"/>
    <w:next w:val="73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6"/>
    <w:next w:val="73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6"/>
    <w:next w:val="73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6"/>
    <w:next w:val="7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6"/>
    <w:next w:val="73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6"/>
    <w:next w:val="73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8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6"/>
    <w:next w:val="73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6"/>
    <w:next w:val="73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6"/>
    <w:next w:val="73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6"/>
    <w:next w:val="73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8"/>
    <w:link w:val="747"/>
    <w:uiPriority w:val="99"/>
    <w:pPr>
      <w:pBdr/>
      <w:spacing/>
      <w:ind/>
    </w:pPr>
  </w:style>
  <w:style w:type="character" w:styleId="179">
    <w:name w:val="Footer Char"/>
    <w:basedOn w:val="738"/>
    <w:link w:val="749"/>
    <w:uiPriority w:val="99"/>
    <w:pPr>
      <w:pBdr/>
      <w:spacing/>
      <w:ind/>
    </w:pPr>
  </w:style>
  <w:style w:type="paragraph" w:styleId="180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190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191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192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193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194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195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196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197">
    <w:name w:val="toc 9"/>
    <w:basedOn w:val="736"/>
    <w:next w:val="73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/>
      <w:ind/>
    </w:pPr>
  </w:style>
  <w:style w:type="paragraph" w:styleId="737">
    <w:name w:val="Heading 1"/>
    <w:basedOn w:val="736"/>
    <w:next w:val="736"/>
    <w:link w:val="751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cs="Times New Roman" w:asciiTheme="majorHAnsi" w:hAnsiTheme="majorHAnsi" w:eastAsiaTheme="majorEastAsia"/>
      <w:b/>
      <w:bCs/>
      <w:color w:val="365f91" w:themeColor="accent1" w:themeShade="BF"/>
      <w:sz w:val="28"/>
      <w:szCs w:val="28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742">
    <w:name w:val="List Paragraph"/>
    <w:basedOn w:val="736"/>
    <w:uiPriority w:val="34"/>
    <w:qFormat/>
    <w:pPr>
      <w:pBdr/>
      <w:spacing w:after="0" w:line="360" w:lineRule="auto"/>
      <w:ind w:firstLine="709" w:left="720"/>
      <w:contextualSpacing w:val="true"/>
      <w:jc w:val="both"/>
    </w:pPr>
    <w:rPr>
      <w:rFonts w:ascii="Times New Roman" w:hAnsi="Times New Roman" w:eastAsia="Calibri" w:cs="Times New Roman"/>
      <w:sz w:val="28"/>
      <w:lang w:eastAsia="en-US"/>
    </w:rPr>
  </w:style>
  <w:style w:type="character" w:styleId="743" w:customStyle="1">
    <w:name w:val="s2"/>
    <w:basedOn w:val="738"/>
    <w:pPr>
      <w:pBdr/>
      <w:spacing/>
      <w:ind/>
    </w:pPr>
  </w:style>
  <w:style w:type="character" w:styleId="744">
    <w:name w:val="Strong"/>
    <w:basedOn w:val="738"/>
    <w:uiPriority w:val="22"/>
    <w:qFormat/>
    <w:pPr>
      <w:pBdr/>
      <w:spacing/>
      <w:ind/>
    </w:pPr>
    <w:rPr>
      <w:b/>
      <w:bCs/>
    </w:rPr>
  </w:style>
  <w:style w:type="paragraph" w:styleId="745" w:customStyle="1">
    <w:name w:val="p1"/>
    <w:basedOn w:val="73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46" w:customStyle="1">
    <w:name w:val="s1"/>
    <w:basedOn w:val="738"/>
    <w:pPr>
      <w:pBdr/>
      <w:spacing/>
      <w:ind/>
    </w:pPr>
  </w:style>
  <w:style w:type="paragraph" w:styleId="747">
    <w:name w:val="Header"/>
    <w:basedOn w:val="736"/>
    <w:link w:val="74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48" w:customStyle="1">
    <w:name w:val="Верхний колонтитул Знак"/>
    <w:basedOn w:val="738"/>
    <w:link w:val="747"/>
    <w:uiPriority w:val="99"/>
    <w:semiHidden/>
    <w:pPr>
      <w:pBdr/>
      <w:spacing/>
      <w:ind/>
    </w:pPr>
  </w:style>
  <w:style w:type="paragraph" w:styleId="749">
    <w:name w:val="Footer"/>
    <w:basedOn w:val="736"/>
    <w:link w:val="7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0" w:customStyle="1">
    <w:name w:val="Нижний колонтитул Знак"/>
    <w:basedOn w:val="738"/>
    <w:link w:val="749"/>
    <w:uiPriority w:val="99"/>
    <w:pPr>
      <w:pBdr/>
      <w:spacing/>
      <w:ind/>
    </w:pPr>
  </w:style>
  <w:style w:type="character" w:styleId="751" w:customStyle="1">
    <w:name w:val="Заголовок 1 Знак"/>
    <w:basedOn w:val="738"/>
    <w:link w:val="737"/>
    <w:uiPriority w:val="9"/>
    <w:pPr>
      <w:pBdr/>
      <w:spacing/>
      <w:ind/>
    </w:pPr>
    <w:rPr>
      <w:rFonts w:cs="Times New Roman" w:asciiTheme="majorHAnsi" w:hAnsiTheme="majorHAnsi" w:eastAsiaTheme="majorEastAsia"/>
      <w:b/>
      <w:bCs/>
      <w:color w:val="365f91" w:themeColor="accent1" w:themeShade="BF"/>
      <w:sz w:val="28"/>
      <w:szCs w:val="28"/>
    </w:rPr>
  </w:style>
  <w:style w:type="paragraph" w:styleId="752" w:customStyle="1">
    <w:name w:val="После аннотации"/>
    <w:basedOn w:val="736"/>
    <w:link w:val="753"/>
    <w:uiPriority w:val="99"/>
    <w:pPr>
      <w:pBdr/>
      <w:spacing w:after="0" w:before="160" w:line="240" w:lineRule="auto"/>
      <w:ind w:firstLine="709"/>
      <w:jc w:val="both"/>
    </w:pPr>
    <w:rPr>
      <w:rFonts w:ascii="Times New Roman" w:hAnsi="Times New Roman" w:eastAsia="Times New Roman" w:cs="Times New Roman"/>
      <w:lang w:eastAsia="en-US"/>
    </w:rPr>
  </w:style>
  <w:style w:type="character" w:styleId="753" w:customStyle="1">
    <w:name w:val="После аннотации Знак"/>
    <w:link w:val="752"/>
    <w:uiPriority w:val="99"/>
    <w:pPr>
      <w:pBdr/>
      <w:spacing/>
      <w:ind/>
    </w:pPr>
    <w:rPr>
      <w:rFonts w:ascii="Times New Roman" w:hAnsi="Times New Roman" w:eastAsia="Times New Roman" w:cs="Times New Roman"/>
      <w:lang w:eastAsia="en-US"/>
    </w:rPr>
  </w:style>
  <w:style w:type="character" w:styleId="754" w:customStyle="1">
    <w:name w:val="Основной текст (4)_"/>
    <w:basedOn w:val="738"/>
    <w:link w:val="761"/>
    <w:pPr>
      <w:pBdr/>
      <w:spacing/>
      <w:ind/>
    </w:pPr>
    <w:rPr>
      <w:rFonts w:ascii="Microsoft Sans Serif" w:hAnsi="Microsoft Sans Serif" w:cs="Microsoft Sans Serif"/>
      <w:b/>
      <w:bCs/>
      <w:sz w:val="23"/>
      <w:szCs w:val="23"/>
      <w:shd w:val="clear" w:color="auto" w:fill="ffffff"/>
    </w:rPr>
  </w:style>
  <w:style w:type="character" w:styleId="755" w:customStyle="1">
    <w:name w:val="Заголовок №7_"/>
    <w:basedOn w:val="738"/>
    <w:link w:val="762"/>
    <w:pPr>
      <w:pBdr/>
      <w:spacing/>
      <w:ind/>
    </w:pPr>
    <w:rPr>
      <w:rFonts w:ascii="Verdana" w:hAnsi="Verdana" w:cs="Verdana"/>
      <w:b/>
      <w:bCs/>
      <w:spacing w:val="-10"/>
      <w:shd w:val="clear" w:color="auto" w:fill="ffffff"/>
    </w:rPr>
  </w:style>
  <w:style w:type="character" w:styleId="756" w:customStyle="1">
    <w:name w:val="Заголовок №5_"/>
    <w:basedOn w:val="738"/>
    <w:link w:val="763"/>
    <w:pPr>
      <w:pBdr/>
      <w:spacing/>
      <w:ind/>
    </w:pPr>
    <w:rPr>
      <w:rFonts w:ascii="Verdana" w:hAnsi="Verdana" w:cs="Verdana"/>
      <w:b/>
      <w:bCs/>
      <w:spacing w:val="-10"/>
      <w:sz w:val="27"/>
      <w:szCs w:val="27"/>
      <w:shd w:val="clear" w:color="auto" w:fill="ffffff"/>
    </w:rPr>
  </w:style>
  <w:style w:type="character" w:styleId="757" w:customStyle="1">
    <w:name w:val="Основной текст (15)_"/>
    <w:basedOn w:val="738"/>
    <w:link w:val="764"/>
    <w:pPr>
      <w:pBdr/>
      <w:spacing/>
      <w:ind/>
    </w:pPr>
    <w:rPr>
      <w:rFonts w:ascii="Microsoft Sans Serif" w:hAnsi="Microsoft Sans Serif" w:cs="Microsoft Sans Serif"/>
      <w:i/>
      <w:iCs/>
      <w:spacing w:val="10"/>
      <w:shd w:val="clear" w:color="auto" w:fill="ffffff"/>
    </w:rPr>
  </w:style>
  <w:style w:type="character" w:styleId="758" w:customStyle="1">
    <w:name w:val="Основной текст (4) + Интервал 1 pt"/>
    <w:basedOn w:val="754"/>
    <w:pPr>
      <w:pBdr/>
      <w:spacing/>
      <w:ind/>
    </w:pPr>
    <w:rPr>
      <w:rFonts w:ascii="Microsoft Sans Serif" w:hAnsi="Microsoft Sans Serif" w:cs="Microsoft Sans Serif"/>
      <w:b/>
      <w:bCs/>
      <w:spacing w:val="20"/>
      <w:sz w:val="23"/>
      <w:szCs w:val="23"/>
      <w:shd w:val="clear" w:color="auto" w:fill="ffffff"/>
    </w:rPr>
  </w:style>
  <w:style w:type="character" w:styleId="759" w:customStyle="1">
    <w:name w:val="Основной текст (15) + Интервал -1 pt"/>
    <w:basedOn w:val="757"/>
    <w:pPr>
      <w:pBdr/>
      <w:spacing/>
      <w:ind/>
    </w:pPr>
    <w:rPr>
      <w:rFonts w:ascii="Microsoft Sans Serif" w:hAnsi="Microsoft Sans Serif" w:cs="Microsoft Sans Serif"/>
      <w:i/>
      <w:iCs/>
      <w:spacing w:val="-20"/>
      <w:shd w:val="clear" w:color="auto" w:fill="ffffff"/>
      <w:lang w:val="en-US" w:eastAsia="en-US"/>
    </w:rPr>
  </w:style>
  <w:style w:type="character" w:styleId="760" w:customStyle="1">
    <w:name w:val="Основной текст (4) + Интервал 1 pt1"/>
    <w:basedOn w:val="754"/>
    <w:pPr>
      <w:pBdr/>
      <w:spacing/>
      <w:ind/>
    </w:pPr>
    <w:rPr>
      <w:rFonts w:ascii="Microsoft Sans Serif" w:hAnsi="Microsoft Sans Serif" w:cs="Microsoft Sans Serif"/>
      <w:b/>
      <w:bCs/>
      <w:spacing w:val="20"/>
      <w:sz w:val="23"/>
      <w:szCs w:val="23"/>
      <w:shd w:val="clear" w:color="auto" w:fill="ffffff"/>
    </w:rPr>
  </w:style>
  <w:style w:type="paragraph" w:styleId="761" w:customStyle="1">
    <w:name w:val="Основной текст (4)1"/>
    <w:basedOn w:val="736"/>
    <w:link w:val="754"/>
    <w:pPr>
      <w:pBdr/>
      <w:shd w:val="clear" w:color="auto" w:fill="ffffff"/>
      <w:spacing w:after="0" w:line="240" w:lineRule="atLeast"/>
      <w:ind/>
    </w:pPr>
    <w:rPr>
      <w:rFonts w:ascii="Microsoft Sans Serif" w:hAnsi="Microsoft Sans Serif" w:cs="Microsoft Sans Serif"/>
      <w:b/>
      <w:bCs/>
      <w:sz w:val="23"/>
      <w:szCs w:val="23"/>
    </w:rPr>
  </w:style>
  <w:style w:type="paragraph" w:styleId="762" w:customStyle="1">
    <w:name w:val="Заголовок №7"/>
    <w:basedOn w:val="736"/>
    <w:link w:val="755"/>
    <w:pPr>
      <w:pBdr/>
      <w:shd w:val="clear" w:color="auto" w:fill="ffffff"/>
      <w:spacing w:after="900" w:before="120" w:line="264" w:lineRule="exact"/>
      <w:ind/>
      <w:outlineLvl w:val="6"/>
    </w:pPr>
    <w:rPr>
      <w:rFonts w:ascii="Verdana" w:hAnsi="Verdana" w:cs="Verdana"/>
      <w:b/>
      <w:bCs/>
      <w:spacing w:val="-10"/>
    </w:rPr>
  </w:style>
  <w:style w:type="paragraph" w:styleId="763" w:customStyle="1">
    <w:name w:val="Заголовок №5"/>
    <w:basedOn w:val="736"/>
    <w:link w:val="756"/>
    <w:pPr>
      <w:pBdr/>
      <w:shd w:val="clear" w:color="auto" w:fill="ffffff"/>
      <w:spacing w:after="180" w:line="326" w:lineRule="exact"/>
      <w:ind/>
      <w:outlineLvl w:val="4"/>
    </w:pPr>
    <w:rPr>
      <w:rFonts w:ascii="Verdana" w:hAnsi="Verdana" w:cs="Verdana"/>
      <w:b/>
      <w:bCs/>
      <w:spacing w:val="-10"/>
      <w:sz w:val="27"/>
      <w:szCs w:val="27"/>
    </w:rPr>
  </w:style>
  <w:style w:type="paragraph" w:styleId="764" w:customStyle="1">
    <w:name w:val="Основной текст (15)"/>
    <w:basedOn w:val="736"/>
    <w:link w:val="757"/>
    <w:pPr>
      <w:pBdr/>
      <w:shd w:val="clear" w:color="auto" w:fill="ffffff"/>
      <w:spacing w:after="60" w:before="60" w:line="269" w:lineRule="exact"/>
      <w:ind/>
    </w:pPr>
    <w:rPr>
      <w:rFonts w:ascii="Microsoft Sans Serif" w:hAnsi="Microsoft Sans Serif" w:cs="Microsoft Sans Serif"/>
      <w:i/>
      <w:iCs/>
      <w:spacing w:val="10"/>
    </w:rPr>
  </w:style>
  <w:style w:type="character" w:styleId="765">
    <w:name w:val="Emphasis"/>
    <w:basedOn w:val="738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asdfgh32@yandex.ru" TargetMode="External"/><Relationship Id="rId12" Type="http://schemas.openxmlformats.org/officeDocument/2006/relationships/hyperlink" Target="http://www.nlr.ru/lawcenter/izd/index.html" TargetMode="External"/><Relationship Id="rId13" Type="http://schemas.openxmlformats.org/officeDocument/2006/relationships/hyperlink" Target="http://www.oim.ru/reader.asp7norners" TargetMode="External"/><Relationship Id="rId14" Type="http://schemas.openxmlformats.org/officeDocument/2006/relationships/hyperlink" Target="http://www.nir.ru/index.htmi" TargetMode="External"/><Relationship Id="rId15" Type="http://schemas.openxmlformats.org/officeDocument/2006/relationships/hyperlink" Target="http://nsk.adme.ru/news/2006/07/03/2121.html" TargetMode="External"/><Relationship Id="rId16" Type="http://schemas.openxmlformats.org/officeDocument/2006/relationships/hyperlink" Target="http://east-front.narod.ru/memo/latchford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AA89-4573-4268-933B-E10A4DEA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Замначальника</dc:creator>
  <cp:revision>3</cp:revision>
  <dcterms:created xsi:type="dcterms:W3CDTF">2025-10-18T09:47:00Z</dcterms:created>
  <dcterms:modified xsi:type="dcterms:W3CDTF">2025-10-20T03:30:37Z</dcterms:modified>
</cp:coreProperties>
</file>